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Pr="002E0E92">
        <w:rPr>
          <w:b/>
        </w:rPr>
        <w:t>Тляхская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Pr="002E0E92">
        <w:rPr>
          <w:b/>
        </w:rPr>
        <w:t>Тляхская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proofErr w:type="spellStart"/>
      <w:r w:rsidRPr="002E0E92">
        <w:rPr>
          <w:b/>
        </w:rPr>
        <w:t>Тляхская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Pr="00E24447">
        <w:rPr>
          <w:b/>
        </w:rPr>
        <w:t xml:space="preserve">368436  село Тлях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Pr="00E24447">
        <w:rPr>
          <w:b/>
        </w:rPr>
        <w:t xml:space="preserve">368436  село Тлях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0528008304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Pr="002957C3">
        <w:rPr>
          <w:b/>
          <w:sz w:val="28"/>
          <w:szCs w:val="28"/>
        </w:rPr>
        <w:t>2110536003114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lastRenderedPageBreak/>
        <w:t xml:space="preserve">и лицензией  </w:t>
      </w:r>
      <w:r w:rsidRPr="00643DB4">
        <w:rPr>
          <w:b/>
        </w:rPr>
        <w:t>РО  № 047573от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BB3138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BB3138">
        <w:trPr>
          <w:cantSplit/>
        </w:trPr>
        <w:tc>
          <w:tcPr>
            <w:tcW w:w="720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BB3138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BB313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Гитинов</w:t>
            </w:r>
            <w:proofErr w:type="spellEnd"/>
            <w:r>
              <w:rPr>
                <w:sz w:val="22"/>
                <w:szCs w:val="22"/>
              </w:rPr>
              <w:t xml:space="preserve"> Ильясхан </w:t>
            </w:r>
            <w:proofErr w:type="spellStart"/>
            <w:r>
              <w:rPr>
                <w:sz w:val="22"/>
                <w:szCs w:val="22"/>
              </w:rPr>
              <w:t>Хирамагомедович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sz w:val="22"/>
                <w:szCs w:val="22"/>
              </w:rPr>
              <w:t>Айшат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Сумалова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Хадижат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Первая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3</w:t>
            </w:r>
          </w:p>
          <w:p w:rsidR="00B350CB" w:rsidRDefault="00B350CB" w:rsidP="00BB3138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lastRenderedPageBreak/>
              <w:t xml:space="preserve">Текучесть педагогических кадров </w:t>
            </w:r>
          </w:p>
          <w:p w:rsidR="00B350CB" w:rsidRDefault="00B350CB" w:rsidP="00BB3138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BB3138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</w:tr>
      <w:tr w:rsidR="00B350CB" w:rsidTr="00BB3138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BB3138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Pr="00202722" w:rsidRDefault="00202722" w:rsidP="00BB3138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 xml:space="preserve">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BB3138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color w:val="002060"/>
                <w:lang w:val="en-US"/>
              </w:rPr>
            </w:pPr>
            <w:r w:rsidRPr="00CB2FAA">
              <w:rPr>
                <w:color w:val="002060"/>
                <w:sz w:val="22"/>
                <w:szCs w:val="22"/>
                <w:lang w:val="en-US"/>
              </w:rPr>
              <w:t>abris54@mail.ru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2B7D02" w:rsidP="00BB3138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 w:rsidRPr="002B7D02">
              <w:rPr>
                <w:b/>
                <w:color w:val="0070C0"/>
                <w:u w:val="single"/>
              </w:rPr>
              <w:t xml:space="preserve">http://tlyak.dagestanschool.ru/ 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BB313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BB3138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BB31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BB313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BB3138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BB3138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BB31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lastRenderedPageBreak/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>
        <w:rPr>
          <w:i/>
        </w:rPr>
        <w:t>(подпись)</w:t>
      </w:r>
      <w:r>
        <w:t xml:space="preserve">         </w:t>
      </w:r>
      <w:proofErr w:type="spellStart"/>
      <w:r>
        <w:t>Гитинов</w:t>
      </w:r>
      <w:proofErr w:type="spellEnd"/>
      <w:r>
        <w:t xml:space="preserve"> И.Х.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0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111E3B"/>
    <w:rsid w:val="00202722"/>
    <w:rsid w:val="00263611"/>
    <w:rsid w:val="002B7D02"/>
    <w:rsid w:val="003B00C3"/>
    <w:rsid w:val="0040596D"/>
    <w:rsid w:val="009C6CC5"/>
    <w:rsid w:val="00AF5945"/>
    <w:rsid w:val="00B3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3</cp:revision>
  <cp:lastPrinted>2014-02-25T06:02:00Z</cp:lastPrinted>
  <dcterms:created xsi:type="dcterms:W3CDTF">2014-02-24T07:33:00Z</dcterms:created>
  <dcterms:modified xsi:type="dcterms:W3CDTF">2017-12-25T11:02:00Z</dcterms:modified>
</cp:coreProperties>
</file>